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12761" w14:textId="77777777" w:rsidR="000444C8" w:rsidRDefault="000444C8" w:rsidP="000444C8">
      <w:pPr>
        <w:pStyle w:val="NormalWeb"/>
        <w:spacing w:before="240" w:beforeAutospacing="0" w:after="240" w:afterAutospacing="0"/>
      </w:pPr>
      <w:r>
        <w:rPr>
          <w:rFonts w:ascii="Arial" w:hAnsi="Arial" w:cs="Arial"/>
          <w:color w:val="000000"/>
          <w:sz w:val="22"/>
          <w:szCs w:val="22"/>
        </w:rPr>
        <w:t xml:space="preserve">250 Word Addition to PHI Aesthetics Botox Service </w:t>
      </w:r>
      <w:proofErr w:type="spellStart"/>
      <w:r>
        <w:rPr>
          <w:rFonts w:ascii="Arial" w:hAnsi="Arial" w:cs="Arial"/>
          <w:color w:val="000000"/>
          <w:sz w:val="22"/>
          <w:szCs w:val="22"/>
        </w:rPr>
        <w:t>Page.KA</w:t>
      </w:r>
      <w:proofErr w:type="spellEnd"/>
    </w:p>
    <w:p w14:paraId="0AD07FC5" w14:textId="77777777" w:rsidR="000444C8" w:rsidRDefault="000444C8" w:rsidP="000444C8">
      <w:pPr>
        <w:pStyle w:val="NormalWeb"/>
        <w:spacing w:before="0" w:beforeAutospacing="0" w:after="0" w:afterAutospacing="0"/>
      </w:pPr>
      <w:r>
        <w:rPr>
          <w:rFonts w:ascii="Calibri" w:hAnsi="Calibri" w:cs="Calibri"/>
          <w:color w:val="0E101A"/>
          <w:sz w:val="22"/>
          <w:szCs w:val="22"/>
        </w:rPr>
        <w:t>When Should I Begin Getting Botox? (Add after Botox Results)</w:t>
      </w:r>
    </w:p>
    <w:p w14:paraId="7BC25FA3" w14:textId="77777777" w:rsidR="000444C8" w:rsidRDefault="000444C8" w:rsidP="000444C8">
      <w:pPr>
        <w:pStyle w:val="NormalWeb"/>
        <w:spacing w:before="0" w:beforeAutospacing="0" w:after="0" w:afterAutospacing="0"/>
      </w:pPr>
      <w:r>
        <w:rPr>
          <w:rFonts w:ascii="Calibri" w:hAnsi="Calibri" w:cs="Calibri"/>
          <w:color w:val="0E101A"/>
          <w:sz w:val="22"/>
          <w:szCs w:val="22"/>
        </w:rPr>
        <w:t> </w:t>
      </w:r>
    </w:p>
    <w:p w14:paraId="6ADBDD75" w14:textId="77777777" w:rsidR="000444C8" w:rsidRDefault="000444C8" w:rsidP="000444C8">
      <w:pPr>
        <w:pStyle w:val="NormalWeb"/>
        <w:spacing w:before="0" w:beforeAutospacing="0" w:after="0" w:afterAutospacing="0"/>
      </w:pPr>
      <w:r>
        <w:rPr>
          <w:rFonts w:ascii="Calibri" w:hAnsi="Calibri" w:cs="Calibri"/>
          <w:color w:val="0E101A"/>
          <w:sz w:val="22"/>
          <w:szCs w:val="22"/>
        </w:rPr>
        <w:t>Most people think Botox is best as a reactionary treatment. Once they begin to see noticeable signs of aging, they seek Botox to improve the appearance of those dynamic wrinkles temporarily. This usually occurs for adults in their 40s or older.</w:t>
      </w:r>
    </w:p>
    <w:p w14:paraId="0FCBCB6A" w14:textId="77777777" w:rsidR="000444C8" w:rsidRDefault="000444C8" w:rsidP="000444C8">
      <w:pPr>
        <w:pStyle w:val="NormalWeb"/>
        <w:spacing w:before="0" w:beforeAutospacing="0" w:after="0" w:afterAutospacing="0"/>
      </w:pPr>
      <w:r>
        <w:rPr>
          <w:rFonts w:ascii="Calibri" w:hAnsi="Calibri" w:cs="Calibri"/>
          <w:color w:val="0E101A"/>
          <w:sz w:val="22"/>
          <w:szCs w:val="22"/>
        </w:rPr>
        <w:t> </w:t>
      </w:r>
    </w:p>
    <w:p w14:paraId="1847695E" w14:textId="77777777" w:rsidR="000444C8" w:rsidRDefault="000444C8" w:rsidP="000444C8">
      <w:pPr>
        <w:pStyle w:val="NormalWeb"/>
        <w:spacing w:before="0" w:beforeAutospacing="0" w:after="0" w:afterAutospacing="0"/>
      </w:pPr>
      <w:r>
        <w:rPr>
          <w:rFonts w:ascii="Calibri" w:hAnsi="Calibri" w:cs="Calibri"/>
          <w:color w:val="0E101A"/>
          <w:sz w:val="22"/>
          <w:szCs w:val="22"/>
        </w:rPr>
        <w:t>However, now physicians are seeing a rise in preventative treatment. Botox is quickly becoming the most popular preventative cosmetic injectable for men and women in their 20s and 30s. These individuals are taking a proactive approach to skincare by preventing the signs of aging before they begin. The popularity of Botox in younger adults follows research showing how Botox prevents dynamic wrinkles from forming by targeting expression muscles early in adulthood.</w:t>
      </w:r>
    </w:p>
    <w:p w14:paraId="06A1F60C" w14:textId="77777777" w:rsidR="000444C8" w:rsidRDefault="000444C8" w:rsidP="000444C8">
      <w:pPr>
        <w:pStyle w:val="NormalWeb"/>
        <w:spacing w:before="0" w:beforeAutospacing="0" w:after="0" w:afterAutospacing="0"/>
      </w:pPr>
      <w:r>
        <w:rPr>
          <w:rFonts w:ascii="Calibri" w:hAnsi="Calibri" w:cs="Calibri"/>
          <w:color w:val="0E101A"/>
          <w:sz w:val="22"/>
          <w:szCs w:val="22"/>
        </w:rPr>
        <w:t> </w:t>
      </w:r>
    </w:p>
    <w:p w14:paraId="0E68D4FF" w14:textId="77777777" w:rsidR="000444C8" w:rsidRDefault="000444C8" w:rsidP="000444C8">
      <w:pPr>
        <w:pStyle w:val="NormalWeb"/>
        <w:spacing w:before="0" w:beforeAutospacing="0" w:after="0" w:afterAutospacing="0"/>
      </w:pPr>
      <w:r>
        <w:rPr>
          <w:rFonts w:ascii="Calibri" w:hAnsi="Calibri" w:cs="Calibri"/>
          <w:color w:val="0E101A"/>
          <w:sz w:val="22"/>
          <w:szCs w:val="22"/>
        </w:rPr>
        <w:t xml:space="preserve">According to a study published in </w:t>
      </w:r>
      <w:r>
        <w:rPr>
          <w:rFonts w:ascii="Calibri" w:hAnsi="Calibri" w:cs="Calibri"/>
          <w:i/>
          <w:iCs/>
          <w:color w:val="0E101A"/>
          <w:sz w:val="22"/>
          <w:szCs w:val="22"/>
        </w:rPr>
        <w:t xml:space="preserve">JAMA </w:t>
      </w:r>
      <w:r>
        <w:rPr>
          <w:rFonts w:ascii="Calibri" w:hAnsi="Calibri" w:cs="Calibri"/>
          <w:color w:val="000000"/>
          <w:sz w:val="22"/>
          <w:szCs w:val="22"/>
        </w:rPr>
        <w:t>Dermatology</w:t>
      </w:r>
      <w:r>
        <w:rPr>
          <w:rFonts w:ascii="Calibri" w:hAnsi="Calibri" w:cs="Calibri"/>
          <w:i/>
          <w:iCs/>
          <w:color w:val="000000"/>
          <w:sz w:val="22"/>
          <w:szCs w:val="22"/>
        </w:rPr>
        <w:t xml:space="preserve">, </w:t>
      </w:r>
      <w:r>
        <w:rPr>
          <w:rFonts w:ascii="Arial" w:hAnsi="Arial" w:cs="Arial"/>
          <w:color w:val="000000"/>
          <w:sz w:val="22"/>
          <w:szCs w:val="22"/>
        </w:rPr>
        <w:t>"Initiating regular treatment with a neuromodulator in an individual's 20s or 30s will dramatically affect the appearance of the face as seen in the person's 40s or 50s. There will be few if any imprinted lines of facial expression present." ²  </w:t>
      </w:r>
    </w:p>
    <w:p w14:paraId="66BFFBAC" w14:textId="77777777" w:rsidR="000444C8" w:rsidRDefault="000444C8" w:rsidP="000444C8">
      <w:pPr>
        <w:pStyle w:val="NormalWeb"/>
        <w:spacing w:before="0" w:beforeAutospacing="0" w:after="0" w:afterAutospacing="0"/>
      </w:pPr>
      <w:r>
        <w:rPr>
          <w:rFonts w:ascii="Calibri" w:hAnsi="Calibri" w:cs="Calibri"/>
          <w:color w:val="0E101A"/>
          <w:sz w:val="22"/>
          <w:szCs w:val="22"/>
        </w:rPr>
        <w:t> </w:t>
      </w:r>
    </w:p>
    <w:p w14:paraId="6E26E8CC" w14:textId="77777777" w:rsidR="000444C8" w:rsidRDefault="000444C8" w:rsidP="000444C8">
      <w:pPr>
        <w:pStyle w:val="NormalWeb"/>
        <w:spacing w:before="0" w:beforeAutospacing="0" w:after="0" w:afterAutospacing="0"/>
      </w:pPr>
      <w:r>
        <w:rPr>
          <w:rFonts w:ascii="Calibri" w:hAnsi="Calibri" w:cs="Calibri"/>
          <w:color w:val="0E101A"/>
          <w:sz w:val="22"/>
          <w:szCs w:val="22"/>
        </w:rPr>
        <w:t xml:space="preserve">Another study, </w:t>
      </w:r>
      <w:r>
        <w:rPr>
          <w:rFonts w:ascii="Calibri" w:hAnsi="Calibri" w:cs="Calibri"/>
          <w:i/>
          <w:iCs/>
          <w:color w:val="000000"/>
          <w:sz w:val="22"/>
          <w:szCs w:val="22"/>
        </w:rPr>
        <w:t>Archives of Facial Plastic Surgery</w:t>
      </w:r>
      <w:r>
        <w:rPr>
          <w:rFonts w:ascii="Arial" w:hAnsi="Arial" w:cs="Arial"/>
          <w:color w:val="000000"/>
          <w:sz w:val="22"/>
          <w:szCs w:val="22"/>
        </w:rPr>
        <w:t>, supports this claim. In the study, identical twins are followed over 13 years. One of them received regular Botox as a young adult, while the other did not. The comparison photos show fewer frown lines, forehead wrinkles, and crow's feet in the twin who used Botox as a preventative treatment. This prompted the researchers to conclude the study by stating, "Long-term treatment with Botox can prevent the development of imprinted facial lines visible at rest. Botox treatment can also reduce crow's feet." ³</w:t>
      </w:r>
    </w:p>
    <w:p w14:paraId="65BDC8DA" w14:textId="77777777" w:rsidR="000444C8" w:rsidRDefault="000444C8" w:rsidP="000444C8">
      <w:pPr>
        <w:pStyle w:val="NormalWeb"/>
        <w:spacing w:before="0" w:beforeAutospacing="0" w:after="0" w:afterAutospacing="0"/>
      </w:pPr>
      <w:r>
        <w:rPr>
          <w:rFonts w:ascii="Calibri" w:hAnsi="Calibri" w:cs="Calibri"/>
          <w:color w:val="0E101A"/>
          <w:sz w:val="22"/>
          <w:szCs w:val="22"/>
        </w:rPr>
        <w:t> </w:t>
      </w:r>
    </w:p>
    <w:p w14:paraId="3CCF3F05" w14:textId="77777777" w:rsidR="000444C8" w:rsidRDefault="000444C8" w:rsidP="000444C8">
      <w:pPr>
        <w:pStyle w:val="NormalWeb"/>
        <w:spacing w:before="0" w:beforeAutospacing="0" w:after="0" w:afterAutospacing="0"/>
      </w:pPr>
      <w:r>
        <w:rPr>
          <w:rFonts w:ascii="Calibri" w:hAnsi="Calibri" w:cs="Calibri"/>
          <w:color w:val="0E101A"/>
          <w:sz w:val="22"/>
          <w:szCs w:val="22"/>
        </w:rPr>
        <w:t>Sources: (Add if none are listed)</w:t>
      </w:r>
    </w:p>
    <w:p w14:paraId="75B164E6" w14:textId="77777777" w:rsidR="000444C8" w:rsidRDefault="000444C8" w:rsidP="000444C8">
      <w:pPr>
        <w:pStyle w:val="NormalWeb"/>
        <w:spacing w:before="0" w:beforeAutospacing="0" w:after="0" w:afterAutospacing="0"/>
      </w:pPr>
      <w:r>
        <w:rPr>
          <w:rFonts w:ascii="Calibri" w:hAnsi="Calibri" w:cs="Calibri"/>
          <w:color w:val="0E101A"/>
          <w:sz w:val="22"/>
          <w:szCs w:val="22"/>
        </w:rPr>
        <w:t> </w:t>
      </w:r>
    </w:p>
    <w:p w14:paraId="3178D3B3" w14:textId="77777777" w:rsidR="000444C8" w:rsidRDefault="000444C8" w:rsidP="000444C8">
      <w:pPr>
        <w:pStyle w:val="NormalWeb"/>
        <w:shd w:val="clear" w:color="auto" w:fill="FFFFFF"/>
        <w:spacing w:before="0" w:beforeAutospacing="0" w:after="0" w:afterAutospacing="0"/>
      </w:pPr>
      <w:r>
        <w:rPr>
          <w:rFonts w:ascii="Calibri" w:hAnsi="Calibri" w:cs="Calibri"/>
          <w:color w:val="000000"/>
          <w:sz w:val="22"/>
          <w:szCs w:val="22"/>
        </w:rPr>
        <w:t>¹</w:t>
      </w:r>
      <w:hyperlink r:id="rId4" w:history="1">
        <w:r>
          <w:rPr>
            <w:rStyle w:val="Hyperlink"/>
            <w:rFonts w:ascii="Calibri" w:hAnsi="Calibri" w:cs="Calibri"/>
            <w:color w:val="000000"/>
            <w:sz w:val="22"/>
            <w:szCs w:val="22"/>
          </w:rPr>
          <w:t xml:space="preserve"> https://www.ncbi.nlm.nih.gov/pubmed/25077722</w:t>
        </w:r>
      </w:hyperlink>
    </w:p>
    <w:p w14:paraId="035E5585" w14:textId="77777777" w:rsidR="000444C8" w:rsidRDefault="000444C8" w:rsidP="000444C8">
      <w:pPr>
        <w:pStyle w:val="NormalWeb"/>
        <w:spacing w:before="0" w:beforeAutospacing="0" w:after="200" w:afterAutospacing="0"/>
      </w:pPr>
      <w:r>
        <w:rPr>
          <w:rFonts w:ascii="Calibri" w:hAnsi="Calibri" w:cs="Calibri"/>
          <w:color w:val="000000"/>
          <w:sz w:val="22"/>
          <w:szCs w:val="22"/>
        </w:rPr>
        <w:t>²</w:t>
      </w:r>
      <w:hyperlink r:id="rId5" w:history="1">
        <w:r>
          <w:rPr>
            <w:rStyle w:val="Hyperlink"/>
            <w:rFonts w:ascii="Calibri" w:hAnsi="Calibri" w:cs="Calibri"/>
            <w:color w:val="000000"/>
            <w:sz w:val="22"/>
            <w:szCs w:val="22"/>
          </w:rPr>
          <w:t xml:space="preserve"> </w:t>
        </w:r>
        <w:r>
          <w:rPr>
            <w:rStyle w:val="Hyperlink"/>
            <w:rFonts w:ascii="Calibri" w:hAnsi="Calibri" w:cs="Calibri"/>
            <w:color w:val="1155CC"/>
            <w:sz w:val="22"/>
            <w:szCs w:val="22"/>
          </w:rPr>
          <w:t>https://www.aafprs.org/media/stats_polls/m_stats.html</w:t>
        </w:r>
      </w:hyperlink>
    </w:p>
    <w:p w14:paraId="55037A79" w14:textId="77777777" w:rsidR="000444C8" w:rsidRDefault="000444C8" w:rsidP="000444C8">
      <w:pPr>
        <w:pStyle w:val="NormalWeb"/>
        <w:spacing w:before="0" w:beforeAutospacing="0" w:after="200" w:afterAutospacing="0"/>
      </w:pPr>
      <w:r>
        <w:rPr>
          <w:rFonts w:ascii="Calibri" w:hAnsi="Calibri" w:cs="Calibri"/>
          <w:color w:val="000000"/>
          <w:sz w:val="22"/>
          <w:szCs w:val="22"/>
        </w:rPr>
        <w:t>³https://www.ncbi.nlm.nih.gov/pubmed/17116793</w:t>
      </w:r>
    </w:p>
    <w:p w14:paraId="017E65C7" w14:textId="77777777" w:rsidR="000444C8" w:rsidRDefault="000444C8" w:rsidP="000444C8">
      <w:pPr>
        <w:pStyle w:val="NormalWeb"/>
        <w:shd w:val="clear" w:color="auto" w:fill="FFFFFF"/>
        <w:spacing w:before="0" w:beforeAutospacing="0" w:after="0" w:afterAutospacing="0"/>
      </w:pPr>
      <w:r>
        <w:rPr>
          <w:rFonts w:ascii="Calibri" w:hAnsi="Calibri" w:cs="Calibri"/>
          <w:color w:val="000000"/>
          <w:sz w:val="22"/>
          <w:szCs w:val="22"/>
        </w:rPr>
        <w:t>⁴</w:t>
      </w:r>
      <w:hyperlink r:id="rId6" w:history="1">
        <w:r>
          <w:rPr>
            <w:rStyle w:val="Hyperlink"/>
            <w:rFonts w:ascii="Calibri" w:hAnsi="Calibri" w:cs="Calibri"/>
            <w:color w:val="000000"/>
            <w:sz w:val="22"/>
            <w:szCs w:val="22"/>
          </w:rPr>
          <w:t xml:space="preserve"> https://www.ncbi.nlm.nih.gov/pubmed/20458348</w:t>
        </w:r>
      </w:hyperlink>
      <w:r>
        <w:rPr>
          <w:rFonts w:ascii="Calibri" w:hAnsi="Calibri" w:cs="Calibri"/>
          <w:color w:val="000000"/>
          <w:sz w:val="22"/>
          <w:szCs w:val="22"/>
        </w:rPr>
        <w:t> </w:t>
      </w:r>
    </w:p>
    <w:p w14:paraId="69133365" w14:textId="77777777" w:rsidR="000444C8" w:rsidRDefault="000444C8" w:rsidP="000444C8">
      <w:pPr>
        <w:pStyle w:val="NormalWeb"/>
        <w:spacing w:before="0" w:beforeAutospacing="0" w:after="0" w:afterAutospacing="0"/>
      </w:pPr>
      <w:r>
        <w:rPr>
          <w:rFonts w:ascii="Calibri" w:hAnsi="Calibri" w:cs="Calibri"/>
          <w:color w:val="000000"/>
          <w:sz w:val="22"/>
          <w:szCs w:val="22"/>
        </w:rPr>
        <w:t>⁵</w:t>
      </w:r>
      <w:hyperlink r:id="rId7" w:history="1">
        <w:r>
          <w:rPr>
            <w:rStyle w:val="Hyperlink"/>
            <w:rFonts w:ascii="Calibri" w:hAnsi="Calibri" w:cs="Calibri"/>
            <w:color w:val="000000"/>
            <w:sz w:val="22"/>
            <w:szCs w:val="22"/>
          </w:rPr>
          <w:t xml:space="preserve"> </w:t>
        </w:r>
        <w:r>
          <w:rPr>
            <w:rStyle w:val="Hyperlink"/>
            <w:rFonts w:ascii="Calibri" w:hAnsi="Calibri" w:cs="Calibri"/>
            <w:color w:val="1155CC"/>
            <w:sz w:val="22"/>
            <w:szCs w:val="22"/>
          </w:rPr>
          <w:t>https://www.ncbi.nlm.nih.gov/pmc/articles/PMC5121792/</w:t>
        </w:r>
      </w:hyperlink>
    </w:p>
    <w:p w14:paraId="025D4A66" w14:textId="77777777" w:rsidR="007B1E83" w:rsidRDefault="007B1E83"/>
    <w:sectPr w:rsidR="007B1E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444C8"/>
    <w:rsid w:val="000444C8"/>
    <w:rsid w:val="007B1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7D3E9"/>
  <w15:chartTrackingRefBased/>
  <w15:docId w15:val="{1A2090DE-672B-4FD8-8F11-334EFB94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44C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444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62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cbi.nlm.nih.gov/pmc/articles/PMC512179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ubmed/20458348" TargetMode="External"/><Relationship Id="rId5" Type="http://schemas.openxmlformats.org/officeDocument/2006/relationships/hyperlink" Target="https://www.aafprs.org/media/stats_polls/m_stats.html" TargetMode="External"/><Relationship Id="rId4" Type="http://schemas.openxmlformats.org/officeDocument/2006/relationships/hyperlink" Target="https://www.ncbi.nlm.nih.gov/pubmed/25077722"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2022-04-20T20:22:00Z</dcterms:created>
  <dcterms:modified xsi:type="dcterms:W3CDTF">2022-04-20T20:22:00Z</dcterms:modified>
</cp:coreProperties>
</file>